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0E" w:rsidRPr="00690D0E" w:rsidRDefault="00690D0E" w:rsidP="00690D0E">
      <w:pPr>
        <w:spacing w:after="0" w:line="240" w:lineRule="auto"/>
        <w:ind w:left="2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>Use this guide to evaluate unit plans you are thinking of using, or to assess and improve instructional plans you develop yourself.</w:t>
      </w:r>
      <w:r w:rsidRPr="00690D0E">
        <w:rPr>
          <w:rFonts w:ascii="Verdana" w:eastAsia="Times New Roman" w:hAnsi="Verdana" w:cs="Times New Roman"/>
          <w:sz w:val="17"/>
          <w:szCs w:val="17"/>
        </w:rPr>
        <w:br/>
      </w:r>
      <w:r w:rsidRPr="00690D0E">
        <w:rPr>
          <w:rFonts w:ascii="Verdana" w:eastAsia="Times New Roman" w:hAnsi="Verdana" w:cs="Times New Roman"/>
          <w:sz w:val="17"/>
          <w:szCs w:val="17"/>
        </w:rPr>
        <w:br/>
      </w:r>
      <w:r w:rsidRPr="00690D0E">
        <w:rPr>
          <w:rFonts w:ascii="Verdana" w:eastAsia="Times New Roman" w:hAnsi="Verdana" w:cs="Times New Roman"/>
          <w:b/>
          <w:bCs/>
          <w:color w:val="0860A8"/>
          <w:sz w:val="20"/>
          <w:szCs w:val="20"/>
        </w:rPr>
        <w:t>An Exemplary Unit Plan:</w:t>
      </w:r>
      <w:r w:rsidRPr="00690D0E">
        <w:rPr>
          <w:rFonts w:ascii="Verdana" w:eastAsia="Times New Roman" w:hAnsi="Verdana" w:cs="Times New Roman"/>
          <w:sz w:val="17"/>
          <w:szCs w:val="17"/>
        </w:rPr>
        <w:br/>
      </w:r>
      <w:r w:rsidRPr="00690D0E">
        <w:rPr>
          <w:rFonts w:ascii="Verdana" w:eastAsia="Times New Roman" w:hAnsi="Verdana" w:cs="Times New Roman"/>
          <w:sz w:val="17"/>
          <w:szCs w:val="17"/>
        </w:rPr>
        <w:br/>
      </w:r>
      <w:r w:rsidRPr="00690D0E">
        <w:rPr>
          <w:rFonts w:ascii="Verdana" w:eastAsia="Times New Roman" w:hAnsi="Verdana" w:cs="Times New Roman"/>
          <w:b/>
          <w:bCs/>
          <w:sz w:val="17"/>
          <w:szCs w:val="17"/>
        </w:rPr>
        <w:t>Addresses important content</w:t>
      </w:r>
      <w:r w:rsidRPr="00690D0E">
        <w:rPr>
          <w:rFonts w:ascii="Verdana" w:eastAsia="Times New Roman" w:hAnsi="Verdana" w:cs="Times New Roman"/>
          <w:sz w:val="17"/>
          <w:szCs w:val="17"/>
        </w:rPr>
        <w:t xml:space="preserve"> </w:t>
      </w:r>
    </w:p>
    <w:p w:rsidR="00690D0E" w:rsidRPr="00690D0E" w:rsidRDefault="00690D0E" w:rsidP="00690D0E">
      <w:pPr>
        <w:numPr>
          <w:ilvl w:val="0"/>
          <w:numId w:val="1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subject matter is fundamentally important and worthy of students' time and attention. Lesson objectives align with content standards. </w:t>
      </w:r>
    </w:p>
    <w:p w:rsidR="00690D0E" w:rsidRPr="00690D0E" w:rsidRDefault="00690D0E" w:rsidP="00690D0E">
      <w:pPr>
        <w:numPr>
          <w:ilvl w:val="0"/>
          <w:numId w:val="1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Learning objectives are explained through essential and guiding questions. These questions help to focus students' attention on meaningful activities that lead to desired learning. </w:t>
      </w:r>
    </w:p>
    <w:p w:rsidR="00690D0E" w:rsidRPr="00690D0E" w:rsidRDefault="00690D0E" w:rsidP="00690D0E">
      <w:pPr>
        <w:numPr>
          <w:ilvl w:val="0"/>
          <w:numId w:val="1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plan promotes higher-order thinking processes (interpretation, synthesis, prediction, and evaluation). </w:t>
      </w:r>
    </w:p>
    <w:p w:rsidR="00690D0E" w:rsidRPr="00690D0E" w:rsidRDefault="00690D0E" w:rsidP="00690D0E">
      <w:pPr>
        <w:spacing w:after="0" w:line="240" w:lineRule="auto"/>
        <w:ind w:left="2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b/>
          <w:bCs/>
          <w:sz w:val="17"/>
          <w:szCs w:val="17"/>
        </w:rPr>
        <w:t>Is designed for success</w:t>
      </w:r>
      <w:r w:rsidRPr="00690D0E">
        <w:rPr>
          <w:rFonts w:ascii="Verdana" w:eastAsia="Times New Roman" w:hAnsi="Verdana" w:cs="Times New Roman"/>
          <w:sz w:val="17"/>
          <w:szCs w:val="17"/>
        </w:rPr>
        <w:t xml:space="preserve"> </w:t>
      </w:r>
    </w:p>
    <w:p w:rsidR="00690D0E" w:rsidRPr="00690D0E" w:rsidRDefault="00690D0E" w:rsidP="00690D0E">
      <w:pPr>
        <w:numPr>
          <w:ilvl w:val="0"/>
          <w:numId w:val="2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Teaching and learning activities, student products, and assessment tools directly reflect the learning objectives. </w:t>
      </w:r>
    </w:p>
    <w:p w:rsidR="00690D0E" w:rsidRPr="00690D0E" w:rsidRDefault="00690D0E" w:rsidP="00690D0E">
      <w:pPr>
        <w:numPr>
          <w:ilvl w:val="0"/>
          <w:numId w:val="2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unit plan is structured yet flexible. </w:t>
      </w:r>
    </w:p>
    <w:p w:rsidR="00690D0E" w:rsidRPr="00690D0E" w:rsidRDefault="00690D0E" w:rsidP="00690D0E">
      <w:pPr>
        <w:numPr>
          <w:ilvl w:val="0"/>
          <w:numId w:val="2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Adequate structure ensures that learning objectives are addressed, while flexibility supports diverse interests and needs of students. </w:t>
      </w:r>
    </w:p>
    <w:p w:rsidR="00690D0E" w:rsidRPr="00690D0E" w:rsidRDefault="00690D0E" w:rsidP="00690D0E">
      <w:pPr>
        <w:numPr>
          <w:ilvl w:val="0"/>
          <w:numId w:val="2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plan is student-centered. By design, it compels students to make choices as they plan their path to understanding. </w:t>
      </w:r>
    </w:p>
    <w:p w:rsidR="00690D0E" w:rsidRPr="00690D0E" w:rsidRDefault="00690D0E" w:rsidP="00690D0E">
      <w:pPr>
        <w:spacing w:after="0" w:line="240" w:lineRule="auto"/>
        <w:ind w:left="2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b/>
          <w:bCs/>
          <w:sz w:val="17"/>
          <w:szCs w:val="17"/>
        </w:rPr>
        <w:t>Is coherent, comprehensive, and usable</w:t>
      </w:r>
      <w:r w:rsidRPr="00690D0E">
        <w:rPr>
          <w:rFonts w:ascii="Verdana" w:eastAsia="Times New Roman" w:hAnsi="Verdana" w:cs="Times New Roman"/>
          <w:sz w:val="17"/>
          <w:szCs w:val="17"/>
        </w:rPr>
        <w:t xml:space="preserve"> </w:t>
      </w:r>
    </w:p>
    <w:p w:rsidR="00690D0E" w:rsidRPr="00690D0E" w:rsidRDefault="00690D0E" w:rsidP="00690D0E">
      <w:pPr>
        <w:numPr>
          <w:ilvl w:val="0"/>
          <w:numId w:val="3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learning objectives in the unit act as a unifying thread tying together teaching and learning activities, student products, and assessment. </w:t>
      </w:r>
    </w:p>
    <w:p w:rsidR="00690D0E" w:rsidRPr="00690D0E" w:rsidRDefault="00690D0E" w:rsidP="00690D0E">
      <w:pPr>
        <w:numPr>
          <w:ilvl w:val="0"/>
          <w:numId w:val="3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unit plan is a well-developed guide for implementation, describing the entire instructional cycle from concept introduction to final assessment. </w:t>
      </w:r>
    </w:p>
    <w:p w:rsidR="00690D0E" w:rsidRPr="00690D0E" w:rsidRDefault="00690D0E" w:rsidP="00690D0E">
      <w:pPr>
        <w:numPr>
          <w:ilvl w:val="0"/>
          <w:numId w:val="3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plan includes supporting resources (such as comparative work samples, schedules, task outlines, scoring guides and rubrics) to guide both teacher and students. </w:t>
      </w:r>
    </w:p>
    <w:p w:rsidR="00690D0E" w:rsidRPr="00690D0E" w:rsidRDefault="00690D0E" w:rsidP="00690D0E">
      <w:pPr>
        <w:spacing w:after="0" w:line="240" w:lineRule="auto"/>
        <w:ind w:left="2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b/>
          <w:bCs/>
          <w:sz w:val="17"/>
          <w:szCs w:val="17"/>
        </w:rPr>
        <w:t>Uses technology effectively</w:t>
      </w:r>
      <w:r w:rsidRPr="00690D0E">
        <w:rPr>
          <w:rFonts w:ascii="Verdana" w:eastAsia="Times New Roman" w:hAnsi="Verdana" w:cs="Times New Roman"/>
          <w:sz w:val="17"/>
          <w:szCs w:val="17"/>
        </w:rPr>
        <w:t xml:space="preserve"> </w:t>
      </w:r>
    </w:p>
    <w:p w:rsidR="00690D0E" w:rsidRPr="00690D0E" w:rsidRDefault="00690D0E" w:rsidP="00690D0E">
      <w:pPr>
        <w:numPr>
          <w:ilvl w:val="0"/>
          <w:numId w:val="4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Technology use is engaging, age appropriate, beneficial to student learning, and supportive of higher-order thinking. </w:t>
      </w:r>
    </w:p>
    <w:p w:rsidR="00690D0E" w:rsidRPr="00690D0E" w:rsidRDefault="00690D0E" w:rsidP="00690D0E">
      <w:pPr>
        <w:numPr>
          <w:ilvl w:val="0"/>
          <w:numId w:val="4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Technology is integral to the success of the teaching plan and promotes greater engagement and deeper learning by: </w:t>
      </w:r>
    </w:p>
    <w:p w:rsidR="00690D0E" w:rsidRPr="00690D0E" w:rsidRDefault="00690D0E" w:rsidP="00690D0E">
      <w:pPr>
        <w:numPr>
          <w:ilvl w:val="1"/>
          <w:numId w:val="4"/>
        </w:numPr>
        <w:spacing w:before="100" w:beforeAutospacing="1" w:after="100" w:afterAutospacing="1" w:line="240" w:lineRule="auto"/>
        <w:ind w:left="44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Fostering new opportunities for interaction and collaboration with experts, peers, and people of different cultures or generations </w:t>
      </w:r>
    </w:p>
    <w:p w:rsidR="00690D0E" w:rsidRPr="00690D0E" w:rsidRDefault="00690D0E" w:rsidP="00690D0E">
      <w:pPr>
        <w:numPr>
          <w:ilvl w:val="1"/>
          <w:numId w:val="4"/>
        </w:numPr>
        <w:spacing w:before="100" w:beforeAutospacing="1" w:after="100" w:afterAutospacing="1" w:line="240" w:lineRule="auto"/>
        <w:ind w:left="44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Opening up unique learning opportunities, such as: </w:t>
      </w:r>
    </w:p>
    <w:p w:rsidR="00690D0E" w:rsidRPr="00690D0E" w:rsidRDefault="00690D0E" w:rsidP="00690D0E">
      <w:pPr>
        <w:numPr>
          <w:ilvl w:val="2"/>
          <w:numId w:val="4"/>
        </w:numPr>
        <w:spacing w:before="100" w:beforeAutospacing="1" w:after="100" w:afterAutospacing="1" w:line="240" w:lineRule="auto"/>
        <w:ind w:left="65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online learning communities </w:t>
      </w:r>
    </w:p>
    <w:p w:rsidR="00690D0E" w:rsidRPr="00690D0E" w:rsidRDefault="00690D0E" w:rsidP="00690D0E">
      <w:pPr>
        <w:numPr>
          <w:ilvl w:val="2"/>
          <w:numId w:val="4"/>
        </w:numPr>
        <w:spacing w:before="100" w:beforeAutospacing="1" w:after="100" w:afterAutospacing="1" w:line="240" w:lineRule="auto"/>
        <w:ind w:left="65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participation in real-time events beyond the classroom (example: National Geographic Society Jason Project </w:t>
      </w:r>
    </w:p>
    <w:p w:rsidR="00690D0E" w:rsidRPr="00690D0E" w:rsidRDefault="00690D0E" w:rsidP="00690D0E">
      <w:pPr>
        <w:numPr>
          <w:ilvl w:val="2"/>
          <w:numId w:val="4"/>
        </w:numPr>
        <w:spacing w:before="100" w:beforeAutospacing="1" w:after="100" w:afterAutospacing="1" w:line="240" w:lineRule="auto"/>
        <w:ind w:left="65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access to primary source materials (example: American Memories Project at the United States Library of Congress) </w:t>
      </w:r>
    </w:p>
    <w:p w:rsidR="00690D0E" w:rsidRPr="00690D0E" w:rsidRDefault="00690D0E" w:rsidP="00690D0E">
      <w:pPr>
        <w:numPr>
          <w:ilvl w:val="2"/>
          <w:numId w:val="4"/>
        </w:numPr>
        <w:spacing w:before="100" w:beforeAutospacing="1" w:after="100" w:afterAutospacing="1" w:line="240" w:lineRule="auto"/>
        <w:ind w:left="65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access to rich databases (example: seismic data at the United States Geological Survey) </w:t>
      </w:r>
    </w:p>
    <w:p w:rsidR="00690D0E" w:rsidRPr="00690D0E" w:rsidRDefault="00690D0E" w:rsidP="00690D0E">
      <w:pPr>
        <w:numPr>
          <w:ilvl w:val="1"/>
          <w:numId w:val="4"/>
        </w:numPr>
        <w:spacing w:before="100" w:beforeAutospacing="1" w:after="100" w:afterAutospacing="1" w:line="240" w:lineRule="auto"/>
        <w:ind w:left="44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Supporting new opportunities for expression and sharing, through email, desktop and Web publishing, and multimedia </w:t>
      </w:r>
    </w:p>
    <w:p w:rsidR="00690D0E" w:rsidRPr="00690D0E" w:rsidRDefault="00690D0E" w:rsidP="00690D0E">
      <w:pPr>
        <w:spacing w:after="0" w:line="240" w:lineRule="auto"/>
        <w:ind w:left="2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b/>
          <w:bCs/>
          <w:sz w:val="17"/>
          <w:szCs w:val="17"/>
        </w:rPr>
        <w:t>Supports assessment</w:t>
      </w:r>
      <w:r w:rsidRPr="00690D0E">
        <w:rPr>
          <w:rFonts w:ascii="Verdana" w:eastAsia="Times New Roman" w:hAnsi="Verdana" w:cs="Times New Roman"/>
          <w:sz w:val="17"/>
          <w:szCs w:val="17"/>
        </w:rPr>
        <w:t xml:space="preserve"> </w:t>
      </w:r>
    </w:p>
    <w:p w:rsidR="00690D0E" w:rsidRPr="00690D0E" w:rsidRDefault="00690D0E" w:rsidP="00690D0E">
      <w:pPr>
        <w:numPr>
          <w:ilvl w:val="0"/>
          <w:numId w:val="5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The assessment tool draws a clear relationship between learning objectives and the learning activities that address those objectives. </w:t>
      </w:r>
    </w:p>
    <w:p w:rsidR="00D66F51" w:rsidRPr="00690D0E" w:rsidRDefault="00690D0E" w:rsidP="00690D0E">
      <w:pPr>
        <w:numPr>
          <w:ilvl w:val="0"/>
          <w:numId w:val="5"/>
        </w:numPr>
        <w:spacing w:before="100" w:beforeAutospacing="1" w:after="100" w:afterAutospacing="1" w:line="240" w:lineRule="auto"/>
        <w:ind w:left="238"/>
        <w:rPr>
          <w:rFonts w:ascii="Verdana" w:eastAsia="Times New Roman" w:hAnsi="Verdana" w:cs="Times New Roman"/>
          <w:sz w:val="17"/>
          <w:szCs w:val="17"/>
        </w:rPr>
      </w:pPr>
      <w:r w:rsidRPr="00690D0E">
        <w:rPr>
          <w:rFonts w:ascii="Verdana" w:eastAsia="Times New Roman" w:hAnsi="Verdana" w:cs="Times New Roman"/>
          <w:sz w:val="17"/>
          <w:szCs w:val="17"/>
        </w:rPr>
        <w:t xml:space="preserve">Instruments for assessment describe specific qualitative and quantitative performance criteria. When shared with students, these criteria help guide students' efforts. </w:t>
      </w:r>
    </w:p>
    <w:sectPr w:rsidR="00D66F51" w:rsidRPr="00690D0E" w:rsidSect="00D66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5B9" w:rsidRDefault="003305B9" w:rsidP="00812266">
      <w:pPr>
        <w:spacing w:after="0" w:line="240" w:lineRule="auto"/>
      </w:pPr>
      <w:r>
        <w:separator/>
      </w:r>
    </w:p>
  </w:endnote>
  <w:endnote w:type="continuationSeparator" w:id="0">
    <w:p w:rsidR="003305B9" w:rsidRDefault="003305B9" w:rsidP="0081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40" w:rsidRDefault="00420E4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40" w:rsidRDefault="00420E40">
    <w:pPr>
      <w:pStyle w:val="Footer"/>
    </w:pPr>
    <w:r>
      <w:rPr>
        <w:rFonts w:ascii="Arial,Italic" w:hAnsi="Arial,Italic" w:cs="Arial,Italic"/>
        <w:i/>
        <w:iCs/>
        <w:color w:val="000000"/>
        <w:sz w:val="18"/>
        <w:szCs w:val="18"/>
      </w:rPr>
      <w:t xml:space="preserve">* </w:t>
    </w:r>
    <w:r>
      <w:rPr>
        <w:rFonts w:ascii="Arial,Italic" w:hAnsi="Arial,Italic" w:cs="Arial,Italic"/>
        <w:i/>
        <w:iCs/>
        <w:color w:val="0000FF"/>
        <w:sz w:val="18"/>
        <w:szCs w:val="18"/>
      </w:rPr>
      <w:t xml:space="preserve">Legal Information </w:t>
    </w:r>
    <w:r>
      <w:rPr>
        <w:rFonts w:ascii="Arial,Italic" w:hAnsi="Arial,Italic" w:cs="Arial,Italic"/>
        <w:i/>
        <w:iCs/>
        <w:color w:val="000000"/>
        <w:sz w:val="18"/>
        <w:szCs w:val="18"/>
      </w:rPr>
      <w:t xml:space="preserve">and </w:t>
    </w:r>
    <w:r>
      <w:rPr>
        <w:rFonts w:ascii="Arial,Italic" w:hAnsi="Arial,Italic" w:cs="Arial,Italic"/>
        <w:i/>
        <w:iCs/>
        <w:color w:val="0000FF"/>
        <w:sz w:val="18"/>
        <w:szCs w:val="18"/>
      </w:rPr>
      <w:t xml:space="preserve">Privacy Policy </w:t>
    </w:r>
    <w:r>
      <w:rPr>
        <w:rFonts w:ascii="Arial,Italic" w:hAnsi="Arial,Italic" w:cs="Arial,Italic"/>
        <w:i/>
        <w:iCs/>
        <w:color w:val="000000"/>
        <w:sz w:val="18"/>
        <w:szCs w:val="18"/>
      </w:rPr>
      <w:t>© 2004 Intel Corporation</w:t>
    </w:r>
    <w:r>
      <w:rPr>
        <w:rFonts w:ascii="Arial,Italic" w:hAnsi="Arial,Italic" w:cs="Arial,Italic"/>
        <w:i/>
        <w:iCs/>
        <w:color w:val="000000"/>
        <w:sz w:val="18"/>
        <w:szCs w:val="18"/>
      </w:rPr>
      <w:tab/>
    </w:r>
    <w:r>
      <w:rPr>
        <w:rFonts w:ascii="Arial,Italic" w:hAnsi="Arial,Italic" w:cs="Arial,Italic"/>
        <w:i/>
        <w:iCs/>
        <w:noProof/>
        <w:color w:val="000000"/>
        <w:sz w:val="18"/>
        <w:szCs w:val="18"/>
      </w:rPr>
      <w:drawing>
        <wp:inline distT="0" distB="0" distL="0" distR="0">
          <wp:extent cx="1150620" cy="20574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205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0E40" w:rsidRDefault="00420E4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40" w:rsidRDefault="00420E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5B9" w:rsidRDefault="003305B9" w:rsidP="00812266">
      <w:pPr>
        <w:spacing w:after="0" w:line="240" w:lineRule="auto"/>
      </w:pPr>
      <w:r>
        <w:separator/>
      </w:r>
    </w:p>
  </w:footnote>
  <w:footnote w:type="continuationSeparator" w:id="0">
    <w:p w:rsidR="003305B9" w:rsidRDefault="003305B9" w:rsidP="0081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40" w:rsidRDefault="00420E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E2187A0B8624C1AA07FC4AA39FF2F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12266" w:rsidRDefault="0081226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Unit Plan Evaluation Guide</w:t>
        </w:r>
      </w:p>
    </w:sdtContent>
  </w:sdt>
  <w:p w:rsidR="00812266" w:rsidRDefault="008122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40" w:rsidRDefault="00420E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B3B"/>
    <w:multiLevelType w:val="multilevel"/>
    <w:tmpl w:val="F96A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26724"/>
    <w:multiLevelType w:val="multilevel"/>
    <w:tmpl w:val="420A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32146"/>
    <w:multiLevelType w:val="multilevel"/>
    <w:tmpl w:val="5DDC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D25050"/>
    <w:multiLevelType w:val="multilevel"/>
    <w:tmpl w:val="8754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1B7359"/>
    <w:multiLevelType w:val="multilevel"/>
    <w:tmpl w:val="E7CC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D0E"/>
    <w:rsid w:val="003305B9"/>
    <w:rsid w:val="00420E40"/>
    <w:rsid w:val="00690D0E"/>
    <w:rsid w:val="00812266"/>
    <w:rsid w:val="00D66F51"/>
    <w:rsid w:val="00E1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2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266"/>
  </w:style>
  <w:style w:type="paragraph" w:styleId="Footer">
    <w:name w:val="footer"/>
    <w:basedOn w:val="Normal"/>
    <w:link w:val="FooterChar"/>
    <w:uiPriority w:val="99"/>
    <w:unhideWhenUsed/>
    <w:rsid w:val="008122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266"/>
  </w:style>
  <w:style w:type="paragraph" w:styleId="BalloonText">
    <w:name w:val="Balloon Text"/>
    <w:basedOn w:val="Normal"/>
    <w:link w:val="BalloonTextChar"/>
    <w:uiPriority w:val="99"/>
    <w:semiHidden/>
    <w:unhideWhenUsed/>
    <w:rsid w:val="0081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2187A0B8624C1AA07FC4AA39FF2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0B76C-E376-4B12-AF3B-20964C8EAAB1}"/>
      </w:docPartPr>
      <w:docPartBody>
        <w:p w:rsidR="00000000" w:rsidRDefault="007E3E56" w:rsidP="007E3E56">
          <w:pPr>
            <w:pStyle w:val="5E2187A0B8624C1AA07FC4AA39FF2FB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E3E56"/>
    <w:rsid w:val="007E3E56"/>
    <w:rsid w:val="0095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E2187A0B8624C1AA07FC4AA39FF2FB6">
    <w:name w:val="5E2187A0B8624C1AA07FC4AA39FF2FB6"/>
    <w:rsid w:val="007E3E56"/>
  </w:style>
  <w:style w:type="paragraph" w:customStyle="1" w:styleId="28C27D63CA67403CBC216263976E210C">
    <w:name w:val="28C27D63CA67403CBC216263976E210C"/>
    <w:rsid w:val="007E3E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Evaluation Guide</dc:title>
  <dc:creator>Owner</dc:creator>
  <cp:lastModifiedBy>Owner</cp:lastModifiedBy>
  <cp:revision>3</cp:revision>
  <cp:lastPrinted>2010-06-09T15:37:00Z</cp:lastPrinted>
  <dcterms:created xsi:type="dcterms:W3CDTF">2010-06-09T17:39:00Z</dcterms:created>
  <dcterms:modified xsi:type="dcterms:W3CDTF">2010-06-09T17:40:00Z</dcterms:modified>
</cp:coreProperties>
</file>